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2A" w:rsidRPr="00220B2A" w:rsidRDefault="00220B2A" w:rsidP="00220B2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215868" w:themeColor="accent5" w:themeShade="80"/>
          <w:sz w:val="36"/>
          <w:szCs w:val="36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36"/>
          <w:szCs w:val="36"/>
          <w:lang w:eastAsia="it-IT"/>
        </w:rPr>
        <w:t>Studi / analisi utili per HA ad altissimo peso molecolare</w:t>
      </w:r>
    </w:p>
    <w:p w:rsidR="00220B2A" w:rsidRPr="00220B2A" w:rsidRDefault="00220B2A" w:rsidP="00220B2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•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Very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-high-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molecular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-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weight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vs high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noBreakHyphen/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molecular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-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weight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hyaluronic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acid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injections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(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Aggarwal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AK et al., 2024)</w:t>
      </w:r>
    </w:p>
    <w:p w:rsidR="00220B2A" w:rsidRPr="00220B2A" w:rsidRDefault="00220B2A" w:rsidP="00220B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Questo studio confronta iniezioni intra-articolari di HA “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very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-high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molecular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weight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(VHMW-HA)” rispetto a “high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molecular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weight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(HMW-HA)”. Conclude che la VHMW-HA mostra una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durata del beneficio clinico più lunga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rispetto agli HMW classici. </w:t>
      </w:r>
      <w:hyperlink r:id="rId6" w:tgtFrame="_blank" w:history="1"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ScienceDirect</w:t>
        </w:r>
        <w:proofErr w:type="spellEnd"/>
      </w:hyperlink>
    </w:p>
    <w:p w:rsidR="00220B2A" w:rsidRPr="00220B2A" w:rsidRDefault="00220B2A" w:rsidP="00220B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Anche se non sempre viene riportato il numero esatto di Dalton, “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very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high MW” suggerisce una catena molto lunga, tipicamente vicina ai valori fisiologici di HA naturale.</w:t>
      </w:r>
    </w:p>
    <w:p w:rsidR="00220B2A" w:rsidRPr="00220B2A" w:rsidRDefault="00220B2A" w:rsidP="00220B2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•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Comparison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of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Different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Molecular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Weights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of Intra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noBreakHyphen/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articular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Hyaluronic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Acid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Preparations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for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Knee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Osteoarthritis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(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Migliorini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F et al., 2025)</w:t>
      </w:r>
    </w:p>
    <w:p w:rsidR="00220B2A" w:rsidRPr="00220B2A" w:rsidRDefault="00220B2A" w:rsidP="00220B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Questa analisi distingue con rigore quattro classi: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low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, medium, high e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 xml:space="preserve">ultra-high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molecular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weight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 xml:space="preserve"> (UHMW)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. L’UHMW HA mostra la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migliore riduzione del dolore (VAS)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nel breve termine (fino a 6 mesi). </w:t>
      </w:r>
      <w:hyperlink r:id="rId7" w:tgtFrame="_blank" w:history="1"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MDPI</w:t>
        </w:r>
      </w:hyperlink>
    </w:p>
    <w:p w:rsidR="00220B2A" w:rsidRPr="00220B2A" w:rsidRDefault="00220B2A" w:rsidP="00220B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I risultati rafforzano l’ipotesi che “più alto è il MW” — entro certi limiti — migliori l’efficacia clinica.</w:t>
      </w:r>
    </w:p>
    <w:p w:rsidR="00220B2A" w:rsidRPr="00220B2A" w:rsidRDefault="00220B2A" w:rsidP="00220B2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•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Molecular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Weight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of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Hyaluronic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Acid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Has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Major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Influence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on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Its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Chondroprotective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and Anti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noBreakHyphen/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Inflammatory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Effects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(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Wu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YZ et al., 2021)</w:t>
      </w:r>
    </w:p>
    <w:p w:rsidR="00220B2A" w:rsidRPr="00220B2A" w:rsidRDefault="00220B2A" w:rsidP="00220B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In questa revisione/meta-analisi, si segnala che HA con MW &gt; 3000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kDa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(3 000 000 Dalton) mostra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maggiore effetto terapeutico e minore incidenza di eventi avversi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rispetto a HA più leggeri. </w:t>
      </w:r>
      <w:hyperlink r:id="rId8" w:tgtFrame="_blank" w:history="1"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سایت</w:t>
        </w:r>
        <w:proofErr w:type="spellEnd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 xml:space="preserve"> </w:t>
        </w:r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رسمی</w:t>
        </w:r>
        <w:proofErr w:type="spellEnd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 xml:space="preserve"> </w:t>
        </w:r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هولدینگ</w:t>
        </w:r>
        <w:proofErr w:type="spellEnd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 xml:space="preserve"> </w:t>
        </w:r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STPharmed</w:t>
        </w:r>
        <w:proofErr w:type="spellEnd"/>
      </w:hyperlink>
    </w:p>
    <w:p w:rsidR="00220B2A" w:rsidRPr="00220B2A" w:rsidRDefault="00220B2A" w:rsidP="00220B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In particolare, HA con MW tra 2000 e 4000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kDa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era in grado di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inibire la degradazione della cartilagine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(riduzione di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metalloproteasi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indotte da IL-6), un dato molto interessante se punti a un prodotto “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medical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-grade” per articoli, ortopedia o estetica. </w:t>
      </w:r>
      <w:hyperlink r:id="rId9" w:tgtFrame="_blank" w:history="1"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سایت</w:t>
        </w:r>
        <w:proofErr w:type="spellEnd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 xml:space="preserve"> </w:t>
        </w:r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رسمی</w:t>
        </w:r>
        <w:proofErr w:type="spellEnd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 xml:space="preserve"> </w:t>
        </w:r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هولدینگ</w:t>
        </w:r>
        <w:proofErr w:type="spellEnd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 xml:space="preserve"> STPharmed+1</w:t>
        </w:r>
      </w:hyperlink>
    </w:p>
    <w:p w:rsidR="00220B2A" w:rsidRPr="00220B2A" w:rsidRDefault="00220B2A" w:rsidP="00220B2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• Product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differences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in intra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noBreakHyphen/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articular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hyaluronic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acids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for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osteoarthritis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of the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knee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(Altman RD et al., 2016)</w:t>
      </w:r>
    </w:p>
    <w:p w:rsidR="00220B2A" w:rsidRPr="00220B2A" w:rsidRDefault="00220B2A" w:rsidP="00220B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Questo lavoro analizza preparazioni di HA con diversi pesi molecolari, includendo una classe “alto peso molecolare” (circa 3000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kDa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) e confrontandola con HA “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low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-MW”. Evidenzia che le HA ad alto peso molecolare tendono a dare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migliori risultati funzionali e analgesici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rispetto alle LMW. </w:t>
      </w:r>
      <w:hyperlink r:id="rId10" w:tgtFrame="_blank" w:history="1">
        <w:proofErr w:type="spellStart"/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Ovid</w:t>
        </w:r>
        <w:proofErr w:type="spellEnd"/>
      </w:hyperlink>
    </w:p>
    <w:p w:rsidR="00220B2A" w:rsidRPr="00220B2A" w:rsidRDefault="00220B2A" w:rsidP="00220B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Utile per argomentare che un HA lineare di ~3 000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kDa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— come potrebbe essere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Focusial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— si colloca nella fascia con migliori evidenze cliniche.</w:t>
      </w:r>
    </w:p>
    <w:p w:rsidR="00220B2A" w:rsidRPr="00220B2A" w:rsidRDefault="00220B2A" w:rsidP="00220B2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•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Mechanisms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of Action of Intra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noBreakHyphen/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articular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Hyaluronic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Acid in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Osteoarthritis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of the 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Knee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(</w:t>
      </w:r>
      <w:proofErr w:type="spellStart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>Sherman</w:t>
      </w:r>
      <w:proofErr w:type="spellEnd"/>
      <w:r w:rsidRPr="00220B2A">
        <w:rPr>
          <w:rFonts w:eastAsia="Times New Roman" w:cstheme="minorHAnsi"/>
          <w:b/>
          <w:bCs/>
          <w:color w:val="215868" w:themeColor="accent5" w:themeShade="80"/>
          <w:sz w:val="27"/>
          <w:szCs w:val="27"/>
          <w:lang w:eastAsia="it-IT"/>
        </w:rPr>
        <w:t xml:space="preserve"> SL et al., 2024)</w:t>
      </w:r>
    </w:p>
    <w:p w:rsidR="00220B2A" w:rsidRPr="00220B2A" w:rsidRDefault="00220B2A" w:rsidP="00220B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In questa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review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vengono analizzati i meccanismi d’azione dell’HA in artrosi. Gli autori evidenziano che gli effetti anti-infiammatori, di lubrificazione e di protezione della cartilagine sono più marcati nei preparati con MW “da 500 a &gt;3000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kDa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”. </w:t>
      </w:r>
      <w:hyperlink r:id="rId11" w:tgtFrame="_blank" w:history="1"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PMC</w:t>
        </w:r>
      </w:hyperlink>
    </w:p>
    <w:p w:rsidR="00220B2A" w:rsidRPr="00220B2A" w:rsidRDefault="00220B2A" w:rsidP="00220B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lastRenderedPageBreak/>
        <w:t xml:space="preserve">Questo conferma il razionale biologico per usare HA molto pesante, perché più simile alla HA naturale sinoviale (che nell’uomo può avere MW di 3–4 milioni Da). </w:t>
      </w:r>
      <w:hyperlink r:id="rId12" w:tgtFrame="_blank" w:history="1"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Wikipedia+1</w:t>
        </w:r>
      </w:hyperlink>
    </w:p>
    <w:p w:rsidR="00220B2A" w:rsidRPr="00220B2A" w:rsidRDefault="00220B2A" w:rsidP="00220B2A">
      <w:pPr>
        <w:spacing w:after="0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220B2A" w:rsidRPr="00220B2A" w:rsidRDefault="00220B2A" w:rsidP="00220B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Non tutti gli studi dichiarano esplicitamente “3.000.000 Da”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: molte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paper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usano termini come “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very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high MW”, “ultra-high MW”, “&gt;3000 </w:t>
      </w:r>
      <w:proofErr w:type="spellStart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kDa</w:t>
      </w:r>
      <w:proofErr w:type="spellEnd"/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”. Ciò rende difficile garantire che il singolo batch del prodotto abbia esattamente 3 milioni di Dalton.</w:t>
      </w:r>
    </w:p>
    <w:p w:rsidR="00220B2A" w:rsidRPr="00220B2A" w:rsidRDefault="00220B2A" w:rsidP="00220B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Non sempre è specificato se l’HA è cross-linkato o no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: la maggior parte degli studi si riferisce ad HA lineare da iniezione (non cross-linkata), ma non sempre lo esplicitano. Questo margine di incertezza va tenuto in considerazione.</w:t>
      </w:r>
    </w:p>
    <w:p w:rsidR="00220B2A" w:rsidRPr="00220B2A" w:rsidRDefault="00220B2A" w:rsidP="00220B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Le linee guida di alcune società (ad es. in artrosi)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non distinguono tra MW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 e a volte </w:t>
      </w:r>
      <w:r w:rsidRPr="00220B2A">
        <w:rPr>
          <w:rFonts w:eastAsia="Times New Roman" w:cstheme="minorHAnsi"/>
          <w:b/>
          <w:bCs/>
          <w:color w:val="215868" w:themeColor="accent5" w:themeShade="80"/>
          <w:sz w:val="24"/>
          <w:szCs w:val="24"/>
          <w:lang w:eastAsia="it-IT"/>
        </w:rPr>
        <w:t>non raccomandano l’uso routinario di HA intra-articolare</w:t>
      </w: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 xml:space="preserve">. </w:t>
      </w:r>
      <w:hyperlink r:id="rId13" w:tgtFrame="_blank" w:history="1">
        <w:r w:rsidRPr="00220B2A">
          <w:rPr>
            <w:rFonts w:eastAsia="Times New Roman" w:cstheme="minorHAnsi"/>
            <w:color w:val="215868" w:themeColor="accent5" w:themeShade="80"/>
            <w:sz w:val="24"/>
            <w:szCs w:val="24"/>
            <w:u w:val="single"/>
            <w:lang w:eastAsia="it-IT"/>
          </w:rPr>
          <w:t>MDPI+1</w:t>
        </w:r>
      </w:hyperlink>
    </w:p>
    <w:p w:rsidR="00220B2A" w:rsidRPr="00220B2A" w:rsidRDefault="00220B2A" w:rsidP="00220B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t>Effetti collaterali, frequenza di iniezione, e durata dell’efficacia possono variare a seconda di formulazione, purezza, volume, viscosità — non solo MW.</w:t>
      </w:r>
    </w:p>
    <w:p w:rsidR="00220B2A" w:rsidRPr="00220B2A" w:rsidRDefault="00220B2A" w:rsidP="00220B2A">
      <w:pPr>
        <w:spacing w:after="0" w:line="240" w:lineRule="auto"/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</w:pPr>
      <w:r w:rsidRPr="00220B2A">
        <w:rPr>
          <w:rFonts w:eastAsia="Times New Roman" w:cstheme="minorHAnsi"/>
          <w:color w:val="215868" w:themeColor="accent5" w:themeShade="80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B0299D" w:rsidRDefault="00B0299D">
      <w:bookmarkStart w:id="0" w:name="_GoBack"/>
      <w:bookmarkEnd w:id="0"/>
    </w:p>
    <w:sectPr w:rsidR="00B029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A9A"/>
    <w:multiLevelType w:val="multilevel"/>
    <w:tmpl w:val="1790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325AD"/>
    <w:multiLevelType w:val="multilevel"/>
    <w:tmpl w:val="4592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C2726"/>
    <w:multiLevelType w:val="multilevel"/>
    <w:tmpl w:val="3D1E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648FF"/>
    <w:multiLevelType w:val="multilevel"/>
    <w:tmpl w:val="352A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606CB"/>
    <w:multiLevelType w:val="multilevel"/>
    <w:tmpl w:val="71AC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945FC8"/>
    <w:multiLevelType w:val="multilevel"/>
    <w:tmpl w:val="6C1C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CD1CFE"/>
    <w:multiLevelType w:val="multilevel"/>
    <w:tmpl w:val="FC56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2A"/>
    <w:rsid w:val="00220B2A"/>
    <w:rsid w:val="008D1311"/>
    <w:rsid w:val="00B0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pharmed.com/uploads/1951dc21f60543daaf63a04435163764.pdf?utm_source=chatgpt.com" TargetMode="External"/><Relationship Id="rId13" Type="http://schemas.openxmlformats.org/officeDocument/2006/relationships/hyperlink" Target="https://www.mdpi.com/2227-9059/13/1/175?utm_source=chatgpt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dpi.com/2227-9059/13/1/175?utm_source=chatgpt.com" TargetMode="External"/><Relationship Id="rId12" Type="http://schemas.openxmlformats.org/officeDocument/2006/relationships/hyperlink" Target="https://en.wikipedia.org/wiki/Hyaluronic_acid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pii/S2667254524000490?utm_source=chatgpt.com" TargetMode="External"/><Relationship Id="rId11" Type="http://schemas.openxmlformats.org/officeDocument/2006/relationships/hyperlink" Target="https://pmc.ncbi.nlm.nih.gov/articles/PMC12381393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vid.com/journals/ajsm/pdf/10.1177/0363546515609599~product-differences-in-intra-articular-hyaluronic-acids-for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pharmed.com/uploads/1951dc21f60543daaf63a04435163764.pdf?utm_source=chatgp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Salvo Russo</dc:creator>
  <cp:lastModifiedBy>Salvo Russo</cp:lastModifiedBy>
  <cp:revision>2</cp:revision>
  <dcterms:created xsi:type="dcterms:W3CDTF">2025-12-10T13:56:00Z</dcterms:created>
  <dcterms:modified xsi:type="dcterms:W3CDTF">2025-12-10T13:56:00Z</dcterms:modified>
</cp:coreProperties>
</file>